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1C" w:rsidRPr="00454DEE" w:rsidRDefault="00683D9C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454DEE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71231C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71231C" w:rsidRPr="00454DEE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0966A4" w:rsidRPr="00454DEE" w:rsidRDefault="000966A4" w:rsidP="000966A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966A4" w:rsidRPr="00454DEE" w:rsidRDefault="000966A4" w:rsidP="000966A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454DEE">
        <w:rPr>
          <w:rFonts w:ascii="IRBadr" w:hAnsi="IRBadr" w:cs="IRBadr"/>
          <w:sz w:val="28"/>
          <w:rtl/>
        </w:rPr>
        <w:fldChar w:fldCharType="begin"/>
      </w:r>
      <w:r w:rsidRPr="00454DEE">
        <w:rPr>
          <w:rFonts w:ascii="IRBadr" w:hAnsi="IRBadr" w:cs="IRBadr"/>
          <w:sz w:val="28"/>
          <w:rtl/>
        </w:rPr>
        <w:instrText xml:space="preserve"> </w:instrText>
      </w:r>
      <w:r w:rsidRPr="00454DEE">
        <w:rPr>
          <w:rFonts w:ascii="IRBadr" w:hAnsi="IRBadr" w:cs="IRBadr"/>
          <w:sz w:val="28"/>
        </w:rPr>
        <w:instrText>TOC</w:instrText>
      </w:r>
      <w:r w:rsidRPr="00454DEE">
        <w:rPr>
          <w:rFonts w:ascii="IRBadr" w:hAnsi="IRBadr" w:cs="IRBadr"/>
          <w:sz w:val="28"/>
          <w:rtl/>
        </w:rPr>
        <w:instrText xml:space="preserve"> \</w:instrText>
      </w:r>
      <w:r w:rsidRPr="00454DEE">
        <w:rPr>
          <w:rFonts w:ascii="IRBadr" w:hAnsi="IRBadr" w:cs="IRBadr"/>
          <w:sz w:val="28"/>
        </w:rPr>
        <w:instrText>o "</w:instrText>
      </w:r>
      <w:r w:rsidRPr="00454DEE">
        <w:rPr>
          <w:rFonts w:ascii="IRBadr" w:hAnsi="IRBadr" w:cs="IRBadr"/>
          <w:sz w:val="28"/>
          <w:rtl/>
        </w:rPr>
        <w:instrText>1-4</w:instrText>
      </w:r>
      <w:r w:rsidRPr="00454DEE">
        <w:rPr>
          <w:rFonts w:ascii="IRBadr" w:hAnsi="IRBadr" w:cs="IRBadr"/>
          <w:sz w:val="28"/>
        </w:rPr>
        <w:instrText>" \h \z \u</w:instrText>
      </w:r>
      <w:r w:rsidRPr="00454DEE">
        <w:rPr>
          <w:rFonts w:ascii="IRBadr" w:hAnsi="IRBadr" w:cs="IRBadr"/>
          <w:sz w:val="28"/>
          <w:rtl/>
        </w:rPr>
        <w:instrText xml:space="preserve"> </w:instrText>
      </w:r>
      <w:r w:rsidRPr="00454DEE">
        <w:rPr>
          <w:rFonts w:ascii="IRBadr" w:hAnsi="IRBadr" w:cs="IRBadr"/>
          <w:sz w:val="28"/>
          <w:rtl/>
        </w:rPr>
        <w:fldChar w:fldCharType="separate"/>
      </w:r>
      <w:hyperlink w:anchor="_Toc426134071" w:history="1">
        <w:r w:rsidRPr="00454DEE">
          <w:rPr>
            <w:rStyle w:val="Hyperlink"/>
            <w:rFonts w:ascii="IRBadr" w:hAnsi="IRBadr" w:cs="IRBadr"/>
            <w:noProof/>
            <w:rtl/>
          </w:rPr>
          <w:t>لواحق زنا</w:t>
        </w:r>
        <w:r w:rsidRPr="00454DEE">
          <w:rPr>
            <w:rFonts w:ascii="IRBadr" w:hAnsi="IRBadr" w:cs="IRBadr"/>
            <w:noProof/>
            <w:webHidden/>
          </w:rPr>
          <w:tab/>
        </w:r>
        <w:r w:rsidRPr="00454DEE">
          <w:rPr>
            <w:rFonts w:ascii="IRBadr" w:hAnsi="IRBadr" w:cs="IRBadr"/>
            <w:noProof/>
            <w:webHidden/>
          </w:rPr>
          <w:fldChar w:fldCharType="begin"/>
        </w:r>
        <w:r w:rsidRPr="00454DEE">
          <w:rPr>
            <w:rFonts w:ascii="IRBadr" w:hAnsi="IRBadr" w:cs="IRBadr"/>
            <w:noProof/>
            <w:webHidden/>
          </w:rPr>
          <w:instrText xml:space="preserve"> PAGEREF _Toc426134071 \h </w:instrText>
        </w:r>
        <w:r w:rsidRPr="00454DEE">
          <w:rPr>
            <w:rFonts w:ascii="IRBadr" w:hAnsi="IRBadr" w:cs="IRBadr"/>
            <w:noProof/>
            <w:webHidden/>
          </w:rPr>
        </w:r>
        <w:r w:rsidRPr="00454DEE">
          <w:rPr>
            <w:rFonts w:ascii="IRBadr" w:hAnsi="IRBadr" w:cs="IRBadr"/>
            <w:noProof/>
            <w:webHidden/>
          </w:rPr>
          <w:fldChar w:fldCharType="separate"/>
        </w:r>
        <w:r w:rsidRPr="00454DEE">
          <w:rPr>
            <w:rFonts w:ascii="IRBadr" w:hAnsi="IRBadr" w:cs="IRBadr"/>
            <w:noProof/>
            <w:webHidden/>
          </w:rPr>
          <w:t>2</w:t>
        </w:r>
        <w:r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072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شواهد بر خلاف شهادت شاهدین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_Toc426134072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2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073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مستند فرع فوق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_Toc426134073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2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074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دلیل اول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_Toc426134074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2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75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مناقشات در روایت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_Toc426134075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3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76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_Toc426134076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3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77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پاسخ به مناقشه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_Toc426134077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3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78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جمع بندی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_Toc426134078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4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79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 xml:space="preserve">احتمالات دیگر در </w:t>
        </w:r>
        <w:r w:rsidR="00454DEE">
          <w:rPr>
            <w:rStyle w:val="Hyperlink"/>
            <w:rFonts w:ascii="IRBadr" w:hAnsi="IRBadr" w:cs="IRBadr"/>
            <w:noProof/>
            <w:rtl/>
          </w:rPr>
          <w:t>مسئله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_Toc426134079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4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080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دلیل دوم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_Toc426134080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4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81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_Toc426134081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4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82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_Toc426134082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5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134083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روایت سوم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_Toc426134083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5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84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دلیل دیگر در این مقام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_Toc426134084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5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85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جمع بندی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_Toc426134085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5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863C40" w:rsidP="000966A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134086" w:history="1">
        <w:r w:rsidR="000966A4" w:rsidRPr="00454DEE">
          <w:rPr>
            <w:rStyle w:val="Hyperlink"/>
            <w:rFonts w:ascii="IRBadr" w:hAnsi="IRBadr" w:cs="IRBadr"/>
            <w:noProof/>
            <w:rtl/>
          </w:rPr>
          <w:t>حد قذف در روایت سکونی</w:t>
        </w:r>
        <w:r w:rsidR="000966A4" w:rsidRPr="00454DEE">
          <w:rPr>
            <w:rFonts w:ascii="IRBadr" w:hAnsi="IRBadr" w:cs="IRBadr"/>
            <w:noProof/>
            <w:webHidden/>
          </w:rPr>
          <w:tab/>
        </w:r>
        <w:r w:rsidR="000966A4" w:rsidRPr="00454DEE">
          <w:rPr>
            <w:rFonts w:ascii="IRBadr" w:hAnsi="IRBadr" w:cs="IRBadr"/>
            <w:noProof/>
            <w:webHidden/>
          </w:rPr>
          <w:fldChar w:fldCharType="begin"/>
        </w:r>
        <w:r w:rsidR="000966A4" w:rsidRPr="00454DEE">
          <w:rPr>
            <w:rFonts w:ascii="IRBadr" w:hAnsi="IRBadr" w:cs="IRBadr"/>
            <w:noProof/>
            <w:webHidden/>
          </w:rPr>
          <w:instrText xml:space="preserve"> PAGEREF _Toc426134086 \h </w:instrText>
        </w:r>
        <w:r w:rsidR="000966A4" w:rsidRPr="00454DEE">
          <w:rPr>
            <w:rFonts w:ascii="IRBadr" w:hAnsi="IRBadr" w:cs="IRBadr"/>
            <w:noProof/>
            <w:webHidden/>
          </w:rPr>
        </w:r>
        <w:r w:rsidR="000966A4" w:rsidRPr="00454DEE">
          <w:rPr>
            <w:rFonts w:ascii="IRBadr" w:hAnsi="IRBadr" w:cs="IRBadr"/>
            <w:noProof/>
            <w:webHidden/>
          </w:rPr>
          <w:fldChar w:fldCharType="separate"/>
        </w:r>
        <w:r w:rsidR="000966A4" w:rsidRPr="00454DEE">
          <w:rPr>
            <w:rFonts w:ascii="IRBadr" w:hAnsi="IRBadr" w:cs="IRBadr"/>
            <w:noProof/>
            <w:webHidden/>
          </w:rPr>
          <w:t>6</w:t>
        </w:r>
        <w:r w:rsidR="000966A4" w:rsidRPr="00454DEE">
          <w:rPr>
            <w:rFonts w:ascii="IRBadr" w:hAnsi="IRBadr" w:cs="IRBadr"/>
            <w:noProof/>
            <w:webHidden/>
          </w:rPr>
          <w:fldChar w:fldCharType="end"/>
        </w:r>
      </w:hyperlink>
    </w:p>
    <w:p w:rsidR="000966A4" w:rsidRPr="00454DEE" w:rsidRDefault="000966A4" w:rsidP="000966A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54DEE" w:rsidRDefault="00454DEE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134071"/>
      <w:r>
        <w:rPr>
          <w:rFonts w:ascii="IRBadr" w:hAnsi="IRBadr" w:cs="IRBadr"/>
          <w:rtl/>
        </w:rPr>
        <w:br w:type="page"/>
      </w:r>
    </w:p>
    <w:p w:rsidR="0087369A" w:rsidRPr="00454DEE" w:rsidRDefault="00D33348" w:rsidP="00C64D23">
      <w:pPr>
        <w:pStyle w:val="Heading1"/>
        <w:rPr>
          <w:rFonts w:ascii="IRBadr" w:hAnsi="IRBadr" w:cs="IRBadr"/>
          <w:rtl/>
        </w:rPr>
      </w:pPr>
      <w:r w:rsidRPr="00454DEE">
        <w:rPr>
          <w:rFonts w:ascii="IRBadr" w:hAnsi="IRBadr" w:cs="IRBadr"/>
          <w:rtl/>
        </w:rPr>
        <w:lastRenderedPageBreak/>
        <w:t>لواحق زنا</w:t>
      </w:r>
      <w:bookmarkEnd w:id="1"/>
    </w:p>
    <w:p w:rsidR="003F2F75" w:rsidRPr="00454DEE" w:rsidRDefault="00D33348" w:rsidP="00C64D23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454DEE">
        <w:rPr>
          <w:rFonts w:ascii="IRBadr" w:hAnsi="IRBadr" w:cs="IRBadr"/>
          <w:sz w:val="28"/>
          <w:szCs w:val="28"/>
          <w:rtl/>
        </w:rPr>
        <w:t xml:space="preserve">در لواحق زنا قریب به ده </w:t>
      </w:r>
      <w:r w:rsidR="00683D9C" w:rsidRPr="00454DEE">
        <w:rPr>
          <w:rFonts w:ascii="IRBadr" w:hAnsi="IRBadr" w:cs="IRBadr"/>
          <w:sz w:val="28"/>
          <w:szCs w:val="28"/>
          <w:rtl/>
        </w:rPr>
        <w:t>مسئله</w:t>
      </w:r>
      <w:r w:rsidRPr="00454DEE">
        <w:rPr>
          <w:rFonts w:ascii="IRBadr" w:hAnsi="IRBadr" w:cs="IRBadr"/>
          <w:sz w:val="28"/>
          <w:szCs w:val="28"/>
          <w:rtl/>
        </w:rPr>
        <w:t xml:space="preserve"> وجود دارد</w:t>
      </w:r>
      <w:r w:rsidR="003F2F75" w:rsidRPr="00454DEE">
        <w:rPr>
          <w:rFonts w:ascii="IRBadr" w:hAnsi="IRBadr" w:cs="IRBadr"/>
          <w:color w:val="3232FA"/>
          <w:sz w:val="18"/>
          <w:szCs w:val="18"/>
          <w:rtl/>
        </w:rPr>
        <w:t>.</w:t>
      </w:r>
    </w:p>
    <w:p w:rsidR="00D33348" w:rsidRPr="00454DEE" w:rsidRDefault="00D33348" w:rsidP="000966A4">
      <w:pPr>
        <w:pStyle w:val="Heading2"/>
        <w:rPr>
          <w:rFonts w:ascii="IRBadr" w:hAnsi="IRBadr" w:cs="IRBadr"/>
          <w:szCs w:val="28"/>
          <w:rtl/>
        </w:rPr>
      </w:pPr>
      <w:bookmarkStart w:id="2" w:name="_Toc426134072"/>
      <w:r w:rsidRPr="00454DEE">
        <w:rPr>
          <w:rFonts w:ascii="IRBadr" w:hAnsi="IRBadr" w:cs="IRBadr"/>
          <w:rtl/>
        </w:rPr>
        <w:t xml:space="preserve">شواهد </w:t>
      </w:r>
      <w:r w:rsidR="00683D9C" w:rsidRPr="00454DEE">
        <w:rPr>
          <w:rFonts w:ascii="IRBadr" w:hAnsi="IRBadr" w:cs="IRBadr"/>
          <w:rtl/>
        </w:rPr>
        <w:t>برخلاف</w:t>
      </w:r>
      <w:r w:rsidRPr="00454DEE">
        <w:rPr>
          <w:rFonts w:ascii="IRBadr" w:hAnsi="IRBadr" w:cs="IRBadr"/>
          <w:rtl/>
        </w:rPr>
        <w:t xml:space="preserve"> شهادت شاهدین</w:t>
      </w:r>
      <w:bookmarkEnd w:id="2"/>
    </w:p>
    <w:p w:rsidR="00D33348" w:rsidRPr="00454DEE" w:rsidRDefault="00683D9C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D33348" w:rsidRPr="00454DEE">
        <w:rPr>
          <w:rFonts w:ascii="IRBadr" w:hAnsi="IRBadr" w:cs="IRBadr"/>
          <w:sz w:val="28"/>
          <w:szCs w:val="28"/>
          <w:rtl/>
          <w:lang w:bidi="fa-IR"/>
        </w:rPr>
        <w:t xml:space="preserve"> شاهدین بر صورت گرفتن زنا شهادت دادند ولی اما قرائن قطعی یا شواهد اطمینانی به نحوی مخالف با شهادت شاهدین اقامه 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33348"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صورت زنا محقق نشده است.</w:t>
      </w:r>
    </w:p>
    <w:p w:rsidR="0087369A" w:rsidRPr="00454DEE" w:rsidRDefault="00D33348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مطابق با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مقدمه‌ای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ذکر شد؛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فرضی شهودی شهادت به زنا زنی دادند و او خود ادعا دارد که باکره هست،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از بررسی زنان از او،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او تأیید 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صورت،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زنا اجرا نخواهد 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شهادی در این زمینه شهادت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شهادت زنان بر بکریت زن،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شهادت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شهاد از اعتبار ساقط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اینجا نه حد زنا بر زن و نه حد قذف بر شهود جاری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4590D" w:rsidRPr="00454DEE" w:rsidRDefault="0044590D" w:rsidP="000966A4">
      <w:pPr>
        <w:pStyle w:val="Heading2"/>
        <w:rPr>
          <w:rFonts w:ascii="IRBadr" w:hAnsi="IRBadr" w:cs="IRBadr"/>
          <w:rtl/>
        </w:rPr>
      </w:pPr>
      <w:bookmarkStart w:id="3" w:name="_Toc426134073"/>
      <w:r w:rsidRPr="00454DEE">
        <w:rPr>
          <w:rFonts w:ascii="IRBadr" w:hAnsi="IRBadr" w:cs="IRBadr"/>
          <w:rtl/>
        </w:rPr>
        <w:t>مستند فرع فوق</w:t>
      </w:r>
      <w:bookmarkEnd w:id="3"/>
    </w:p>
    <w:p w:rsidR="0044590D" w:rsidRPr="00454DEE" w:rsidRDefault="0044590D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454DEE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تقریباً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امری اتفاق در میان فقها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درباره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مستندات این حکم باید گفت: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اینجا دو نوع دلیل وجود دارد،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دلیل نقلی و در کنار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قاعده درع وجود دارد.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به‌عبارتی‌دیگر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اینجا دو نوع حکم وجود دارد؛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جریان حد قذف و عدم جریان حد زنا.</w:t>
      </w:r>
    </w:p>
    <w:p w:rsidR="0044590D" w:rsidRPr="00454DEE" w:rsidRDefault="0044590D" w:rsidP="000966A4">
      <w:pPr>
        <w:pStyle w:val="Heading2"/>
        <w:rPr>
          <w:rFonts w:ascii="IRBadr" w:hAnsi="IRBadr" w:cs="IRBadr"/>
          <w:rtl/>
        </w:rPr>
      </w:pPr>
      <w:bookmarkStart w:id="4" w:name="_Toc426134074"/>
      <w:r w:rsidRPr="00454DEE">
        <w:rPr>
          <w:rFonts w:ascii="IRBadr" w:hAnsi="IRBadr" w:cs="IRBadr"/>
          <w:rtl/>
        </w:rPr>
        <w:t>دلیل اول</w:t>
      </w:r>
      <w:bookmarkEnd w:id="4"/>
    </w:p>
    <w:p w:rsidR="0044590D" w:rsidRPr="00454DEE" w:rsidRDefault="0071231C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دلیل اول روایتی است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سکونی، این روایت در ابواب حد زنا، باب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بیست‌وپنج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صفحه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 دویست و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نودوچهار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3F2F75" w:rsidRPr="00454DEE" w:rsidRDefault="003F2F75" w:rsidP="00C64D23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«الْحُسَ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سَعِ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عَنْ فَضَالَةَ عَنْ إِسْمَاعِ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بْنِ أَبِ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زِ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ادٍ عَنْ أَبِ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عَنْ أَبِ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عَلِ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أَنَّهُ أُتِ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بِامْرَأَةٍ 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زَعَمُوا أَنَّهَا زَنَتْ فَأَمَرَ النِّسَاءَ فَنَظَرْنَ إِلَ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فَقُلْنَ هِ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عَذْرَاءُ فَقَالَ عَلِ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مَا 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نْتُ لِأَضْرِبَ مَنْ عَلَ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خَاتَمٌ مِنَ اللَّهِ وَ 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زُ شَهَادَةَ النِّسَاءِ فِ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مِثْلِ هَذَا.»</w:t>
      </w:r>
      <w:r w:rsidRPr="00454DEE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44590D" w:rsidRPr="00454DEE" w:rsidRDefault="0071231C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اسماعیل بن ابی زیاد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همان س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کونی مشهور است که در غالب اسنادها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سکونی 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>است و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اسمش اسماعیل ابی زیاد است. امام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از آبائشان نقل می‌کند تا به </w:t>
      </w:r>
      <w:r w:rsidR="00454DEE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می‌رسد که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>؛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زنی شهادت داد به اینکه زنا کرده است. 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 xml:space="preserve">زن‌ها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او را آزمایش ک</w:t>
      </w:r>
      <w:r w:rsidR="0044590D" w:rsidRPr="00454DEE">
        <w:rPr>
          <w:rFonts w:ascii="IRBadr" w:hAnsi="IRBadr" w:cs="IRBadr"/>
          <w:sz w:val="28"/>
          <w:szCs w:val="28"/>
          <w:rtl/>
          <w:lang w:bidi="fa-IR"/>
        </w:rPr>
        <w:t>ردن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د، گفتند او باکره است. حضرت فرمود این مهر خدایی در او ثابت است و من اجرای حد نمی‌کنم.</w:t>
      </w:r>
    </w:p>
    <w:p w:rsidR="0044590D" w:rsidRPr="00454DEE" w:rsidRDefault="0044590D" w:rsidP="000966A4">
      <w:pPr>
        <w:pStyle w:val="Heading3"/>
        <w:rPr>
          <w:rFonts w:ascii="IRBadr" w:hAnsi="IRBadr" w:cs="IRBadr"/>
          <w:rtl/>
        </w:rPr>
      </w:pPr>
      <w:bookmarkStart w:id="5" w:name="_Toc426134075"/>
      <w:r w:rsidRPr="00454DEE">
        <w:rPr>
          <w:rFonts w:ascii="IRBadr" w:hAnsi="IRBadr" w:cs="IRBadr"/>
          <w:rtl/>
        </w:rPr>
        <w:t>مناقشات در روایت</w:t>
      </w:r>
      <w:bookmarkEnd w:id="5"/>
    </w:p>
    <w:p w:rsidR="0044590D" w:rsidRPr="00454DEE" w:rsidRDefault="0044590D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در این روایت از دو ناحیه مناقشه شده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جنبه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اول مربوط به بحث سندی حدیث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اشکال موجود در اسماعیل بن ابی زیاد یعنی همان سکونی مشهور بوده و دیگر رجال موجود در سند فاقد اشکال هستند</w:t>
      </w:r>
      <w:r w:rsidR="0029249E" w:rsidRPr="00454DEE">
        <w:rPr>
          <w:rFonts w:ascii="IRBadr" w:hAnsi="IRBadr" w:cs="IRBadr"/>
          <w:sz w:val="28"/>
          <w:szCs w:val="28"/>
          <w:rtl/>
          <w:lang w:bidi="fa-IR"/>
        </w:rPr>
        <w:t xml:space="preserve">. البته سکونی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29249E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نزد ما توثیق خواهد شد.</w:t>
      </w:r>
    </w:p>
    <w:p w:rsidR="0044590D" w:rsidRPr="00454DEE" w:rsidRDefault="0029249E" w:rsidP="000966A4">
      <w:pPr>
        <w:pStyle w:val="Heading3"/>
        <w:rPr>
          <w:rFonts w:ascii="IRBadr" w:hAnsi="IRBadr" w:cs="IRBadr"/>
          <w:rtl/>
        </w:rPr>
      </w:pPr>
      <w:bookmarkStart w:id="6" w:name="_Toc426134076"/>
      <w:r w:rsidRPr="00454DEE">
        <w:rPr>
          <w:rFonts w:ascii="IRBadr" w:hAnsi="IRBadr" w:cs="IRBadr"/>
          <w:rtl/>
        </w:rPr>
        <w:t>بررسی دلالی روایت</w:t>
      </w:r>
      <w:bookmarkEnd w:id="6"/>
    </w:p>
    <w:p w:rsidR="0029249E" w:rsidRPr="00454DEE" w:rsidRDefault="0029249E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از حیث دلالی ممکن است این سؤال مطرح گردد که مورد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روایت چندان با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همخوانی ندارد و به جنبه دیگری پرداخته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این بود که شواهد شواهدی شهادت به زنا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نقطه مقابل شهادت به خلاف آن شهود وجود دارد.</w:t>
      </w:r>
    </w:p>
    <w:p w:rsidR="0029249E" w:rsidRPr="00454DEE" w:rsidRDefault="0029249E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اما آنچه در روایت بدان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پرداخته‌شده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مردی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ادعا کرده که زنی زنا کرده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مورد عدم اجرای حد زنا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به اینکه شهود به میزان لازم نرسیده است. نه بدین سبب که در مقابل آن افرادی دیگر شهادت به خلاف آن امر دادند.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حقیقت در اینجا دلیل مطابق با مدعا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نیست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4590D" w:rsidRPr="00454DEE" w:rsidRDefault="0029249E" w:rsidP="000966A4">
      <w:pPr>
        <w:pStyle w:val="Heading3"/>
        <w:rPr>
          <w:rFonts w:ascii="IRBadr" w:hAnsi="IRBadr" w:cs="IRBadr"/>
          <w:rtl/>
        </w:rPr>
      </w:pPr>
      <w:bookmarkStart w:id="7" w:name="_Toc426134077"/>
      <w:r w:rsidRPr="00454DEE">
        <w:rPr>
          <w:rFonts w:ascii="IRBadr" w:hAnsi="IRBadr" w:cs="IRBadr"/>
          <w:rtl/>
        </w:rPr>
        <w:t>پاسخ به مناقشه</w:t>
      </w:r>
      <w:bookmarkEnd w:id="7"/>
    </w:p>
    <w:p w:rsidR="0029249E" w:rsidRPr="00454DEE" w:rsidRDefault="0029249E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در قبال این شبهه باید گفت: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پس از ادعای صورت گرفته به زنان ارجاع دادند،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معلوم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اگر شهادت زنان در اینجا وجود نداشت،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بر فرد جاری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و مقتضی برای اجرای حد وجود داشت.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احتمالی که در اینجا وجود دارد،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مانع از اجرای حد 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وجود مقتضی در این مقام بوده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ظهور روایت در وجه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>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شهادت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نساء به بکریت او مانع از اجرای حد بر آن زن شد.</w:t>
      </w:r>
    </w:p>
    <w:p w:rsidR="0029249E" w:rsidRPr="00454DEE" w:rsidRDefault="00683D9C" w:rsidP="000966A4">
      <w:pPr>
        <w:pStyle w:val="Heading3"/>
        <w:rPr>
          <w:rFonts w:ascii="IRBadr" w:hAnsi="IRBadr" w:cs="IRBadr"/>
          <w:rtl/>
        </w:rPr>
      </w:pPr>
      <w:r w:rsidRPr="00454DEE">
        <w:rPr>
          <w:rFonts w:ascii="IRBadr" w:hAnsi="IRBadr" w:cs="IRBadr"/>
          <w:rtl/>
        </w:rPr>
        <w:lastRenderedPageBreak/>
        <w:t>جمع‌بندی</w:t>
      </w:r>
    </w:p>
    <w:p w:rsidR="00524EE2" w:rsidRPr="00454DEE" w:rsidRDefault="00683D9C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از دو اشکال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سندی و چه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دلالی وارد نیست. و اگر اشکالات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دفع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شود،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شاهدی مناسب برای این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524EE2" w:rsidRPr="00454DEE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29249E" w:rsidRPr="00454DEE" w:rsidRDefault="00524EE2" w:rsidP="000966A4">
      <w:pPr>
        <w:pStyle w:val="Heading4"/>
        <w:rPr>
          <w:rFonts w:ascii="IRBadr" w:hAnsi="IRBadr" w:cs="IRBadr"/>
          <w:rtl/>
        </w:rPr>
      </w:pPr>
      <w:bookmarkStart w:id="8" w:name="_Toc426134079"/>
      <w:r w:rsidRPr="00454DEE">
        <w:rPr>
          <w:rFonts w:ascii="IRBadr" w:hAnsi="IRBadr" w:cs="IRBadr"/>
          <w:rtl/>
        </w:rPr>
        <w:t xml:space="preserve">احتمالات دیگر در </w:t>
      </w:r>
      <w:bookmarkEnd w:id="8"/>
      <w:r w:rsidR="00683D9C" w:rsidRPr="00454DEE">
        <w:rPr>
          <w:rFonts w:ascii="IRBadr" w:hAnsi="IRBadr" w:cs="IRBadr"/>
          <w:rtl/>
        </w:rPr>
        <w:t>مسئله</w:t>
      </w:r>
    </w:p>
    <w:p w:rsidR="00524EE2" w:rsidRPr="00454DEE" w:rsidRDefault="00524EE2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احتمالی دیگر در این مقام وجود دارد که بکارت بعد از زنا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رفته‌رفته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ترمیم‌شده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احتمال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احتمال درستی باشد،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چون امر،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مهمی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اینجا احتیاط شده است،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بعداً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نیز اشاره خواهد شد که؛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جریان حد بدین سبب بود که صحت قولشان حتمی است.</w:t>
      </w:r>
    </w:p>
    <w:p w:rsidR="00524EE2" w:rsidRPr="00454DEE" w:rsidRDefault="00524EE2" w:rsidP="000966A4">
      <w:pPr>
        <w:pStyle w:val="Heading2"/>
        <w:rPr>
          <w:rFonts w:ascii="IRBadr" w:hAnsi="IRBadr" w:cs="IRBadr"/>
          <w:rtl/>
        </w:rPr>
      </w:pPr>
      <w:bookmarkStart w:id="9" w:name="_Toc426134080"/>
      <w:r w:rsidRPr="00454DEE">
        <w:rPr>
          <w:rFonts w:ascii="IRBadr" w:hAnsi="IRBadr" w:cs="IRBadr"/>
          <w:rtl/>
        </w:rPr>
        <w:t>دلیل دوم</w:t>
      </w:r>
      <w:bookmarkEnd w:id="9"/>
    </w:p>
    <w:p w:rsidR="006C153F" w:rsidRPr="00454DEE" w:rsidRDefault="006661BA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دلیل دومی که در اینجا وجود دارد،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6C153F" w:rsidRPr="00454DEE">
        <w:rPr>
          <w:rFonts w:ascii="IRBadr" w:hAnsi="IRBadr" w:cs="IRBadr"/>
          <w:sz w:val="28"/>
          <w:szCs w:val="28"/>
          <w:rtl/>
          <w:lang w:bidi="fa-IR"/>
        </w:rPr>
        <w:t>دیگری از سکونی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C153F" w:rsidRPr="00454DEE">
        <w:rPr>
          <w:rFonts w:ascii="IRBadr" w:hAnsi="IRBadr" w:cs="IRBadr"/>
          <w:sz w:val="28"/>
          <w:szCs w:val="28"/>
          <w:rtl/>
          <w:lang w:bidi="fa-IR"/>
        </w:rPr>
        <w:t xml:space="preserve"> روایت در </w:t>
      </w:r>
      <w:r w:rsidR="0071231C" w:rsidRPr="00454DEE">
        <w:rPr>
          <w:rFonts w:ascii="IRBadr" w:hAnsi="IRBadr" w:cs="IRBadr"/>
          <w:sz w:val="28"/>
          <w:szCs w:val="28"/>
          <w:rtl/>
          <w:lang w:bidi="fa-IR"/>
        </w:rPr>
        <w:t>ابواب زنا</w:t>
      </w:r>
      <w:r w:rsidR="006C153F"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71231C" w:rsidRPr="00454DEE">
        <w:rPr>
          <w:rFonts w:ascii="IRBadr" w:hAnsi="IRBadr" w:cs="IRBadr"/>
          <w:sz w:val="28"/>
          <w:szCs w:val="28"/>
          <w:rtl/>
          <w:lang w:bidi="fa-IR"/>
        </w:rPr>
        <w:t xml:space="preserve"> جلد هفده، ابواب شهادات، باب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بیست‌وچهار</w:t>
      </w:r>
      <w:r w:rsidR="0071231C" w:rsidRPr="00454DEE">
        <w:rPr>
          <w:rFonts w:ascii="IRBadr" w:hAnsi="IRBadr" w:cs="IRBadr"/>
          <w:sz w:val="28"/>
          <w:szCs w:val="28"/>
          <w:rtl/>
          <w:lang w:bidi="fa-IR"/>
        </w:rPr>
        <w:t>، حدی</w:t>
      </w:r>
      <w:r w:rsidR="006C153F" w:rsidRPr="00454DEE">
        <w:rPr>
          <w:rFonts w:ascii="IRBadr" w:hAnsi="IRBadr" w:cs="IRBadr"/>
          <w:sz w:val="28"/>
          <w:szCs w:val="28"/>
          <w:rtl/>
          <w:lang w:bidi="fa-IR"/>
        </w:rPr>
        <w:t xml:space="preserve">ث سیزدهم، صفحه دویست و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شصت‌ویک</w:t>
      </w:r>
      <w:r w:rsidR="006C153F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6C153F"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F2F75" w:rsidRPr="00454DEE" w:rsidRDefault="003F2F75" w:rsidP="00C64D23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النَّوْفَلِ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السَّ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أُتِ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بِامْرَأَةٍ بِ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زَعَمُوا أَنَّهَا زَنَتْ فَأَمَرَ النِّسَاءَ فَنَظَرْنَ إِلَ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فَقُلْنَ هِ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عَذْرَاءُ فَقَالَ مَا 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نْتُ لِأَضْرِبَ مَنْ عَلَ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خَاتَمٌ مِنَ اللَّهِ وَ 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زُ شَهَادَةَ النِّسَاءِ فِ</w:t>
      </w:r>
      <w:r w:rsidR="00C64D23"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54DE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مِثْلِ هَذَا.»</w:t>
      </w:r>
      <w:r w:rsidRPr="00454DEE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6C153F" w:rsidRPr="00454DEE" w:rsidRDefault="006C153F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تقریباً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به همان مضمون روایت سابق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در این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روایت تعبیر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به‌زعم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شده است که گاهی به معنای یقین و اطمینان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نوع از استعمال در قرآن نیز موجود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اینجا به معنا اقامه حجت معتبره است که زنان به اطمینان رسیدند که او باکره است.</w:t>
      </w:r>
    </w:p>
    <w:p w:rsidR="006C153F" w:rsidRPr="00454DEE" w:rsidRDefault="006C153F" w:rsidP="000966A4">
      <w:pPr>
        <w:pStyle w:val="Heading3"/>
        <w:rPr>
          <w:rFonts w:ascii="IRBadr" w:hAnsi="IRBadr" w:cs="IRBadr"/>
          <w:rtl/>
        </w:rPr>
      </w:pPr>
      <w:bookmarkStart w:id="10" w:name="_Toc426134081"/>
      <w:r w:rsidRPr="00454DEE">
        <w:rPr>
          <w:rFonts w:ascii="IRBadr" w:hAnsi="IRBadr" w:cs="IRBadr"/>
          <w:rtl/>
        </w:rPr>
        <w:t>بررسی سندی روایت</w:t>
      </w:r>
      <w:bookmarkEnd w:id="10"/>
    </w:p>
    <w:p w:rsidR="006C153F" w:rsidRPr="00454DEE" w:rsidRDefault="00242A2B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روایت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سندی دارای اشکال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ابراهیم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بن هاشم و نوفلی که در سند روایت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واقع‌شده‌اند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هستند،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قبال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هردوی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مباحثی مطرح شد؛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راه‌های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توثیق ابراهیم بن هاشم و نوفلی بیان شد که یکی از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وقوع در رجال کامل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lastRenderedPageBreak/>
        <w:t>الزیارات بود،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راهی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نیز از جانب آقای تبریزی بود که با چند قید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ما واقع شد که؛ اگر راوی از مشاهیر باشد و قدحی در باب او وارد نشده باشد،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جهت توثیق کافی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اینجا نیز این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دو نفر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شامل قاعده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42A2B" w:rsidRPr="00454DEE" w:rsidRDefault="00242A2B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البته اگر کسی این دو سند را نپذیرفت همانند آقای مکارم و فاضل، ضعف را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باشهرت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جبران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ما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گفتیم این قاعده را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قبول نداریم.</w:t>
      </w:r>
    </w:p>
    <w:p w:rsidR="00242A2B" w:rsidRPr="00454DEE" w:rsidRDefault="00242A2B" w:rsidP="000966A4">
      <w:pPr>
        <w:pStyle w:val="Heading3"/>
        <w:rPr>
          <w:rFonts w:ascii="IRBadr" w:hAnsi="IRBadr" w:cs="IRBadr"/>
          <w:rtl/>
        </w:rPr>
      </w:pPr>
      <w:bookmarkStart w:id="11" w:name="_Toc426134082"/>
      <w:r w:rsidRPr="00454DEE">
        <w:rPr>
          <w:rFonts w:ascii="IRBadr" w:hAnsi="IRBadr" w:cs="IRBadr"/>
          <w:rtl/>
        </w:rPr>
        <w:t>بررسی دلالی روایت</w:t>
      </w:r>
      <w:bookmarkEnd w:id="11"/>
    </w:p>
    <w:p w:rsidR="00242A2B" w:rsidRPr="00454DEE" w:rsidRDefault="00242A2B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از حیث دلالی اشکالی که در روایت سابق بود در اینجا وارد نیست؛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اینجا تعبیر به زعموا شده که نشان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چند نفر شاهد وجود داشته،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اینکه تنها یک نفر بوده باشد.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احتمال وجود دارد که این دو روایت در اصل یکی باشند.</w:t>
      </w:r>
    </w:p>
    <w:p w:rsidR="00546407" w:rsidRPr="00454DEE" w:rsidRDefault="00242A2B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و بعید نیست که هر دو روایت در حقیقت یکی باشد،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فقط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رجال</w:t>
      </w:r>
      <w:r w:rsidR="00454DEE">
        <w:rPr>
          <w:rFonts w:ascii="IRBadr" w:hAnsi="IRBadr" w:cs="IRBadr"/>
          <w:sz w:val="28"/>
          <w:szCs w:val="28"/>
          <w:rtl/>
          <w:lang w:bidi="fa-IR"/>
        </w:rPr>
        <w:t xml:space="preserve"> واقع در اسناد با یکدیگر تفاوت</w:t>
      </w:r>
      <w:r w:rsidR="00454DEE">
        <w:rPr>
          <w:rFonts w:ascii="IRBadr" w:hAnsi="IRBadr" w:cs="IRBadr" w:hint="cs"/>
          <w:sz w:val="28"/>
          <w:szCs w:val="28"/>
          <w:rtl/>
          <w:lang w:bidi="fa-IR"/>
        </w:rPr>
        <w:t>‌های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ی دارند.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ظاهراً</w:t>
      </w:r>
      <w:r w:rsidR="00546407" w:rsidRPr="00454DEE">
        <w:rPr>
          <w:rFonts w:ascii="IRBadr" w:hAnsi="IRBadr" w:cs="IRBadr"/>
          <w:sz w:val="28"/>
          <w:szCs w:val="28"/>
          <w:rtl/>
          <w:lang w:bidi="fa-IR"/>
        </w:rPr>
        <w:t xml:space="preserve"> مرحوم صدوق سند دیگری ذکر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546407"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خالی از اشکال نیست.</w:t>
      </w:r>
    </w:p>
    <w:p w:rsidR="00546407" w:rsidRPr="00454DEE" w:rsidRDefault="00546407" w:rsidP="000966A4">
      <w:pPr>
        <w:pStyle w:val="Heading2"/>
        <w:rPr>
          <w:rFonts w:ascii="IRBadr" w:hAnsi="IRBadr" w:cs="IRBadr"/>
          <w:rtl/>
        </w:rPr>
      </w:pPr>
      <w:bookmarkStart w:id="12" w:name="_Toc426134083"/>
      <w:r w:rsidRPr="00454DEE">
        <w:rPr>
          <w:rFonts w:ascii="IRBadr" w:hAnsi="IRBadr" w:cs="IRBadr"/>
          <w:rtl/>
        </w:rPr>
        <w:t>روایت سوم</w:t>
      </w:r>
      <w:bookmarkEnd w:id="12"/>
    </w:p>
    <w:p w:rsidR="00242A2B" w:rsidRPr="00454DEE" w:rsidRDefault="00546407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و همچنین در فقه الرضا به نحوی مرسله رواتی دیگری در این باب از نبی اکرم (ص)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با همین نوع از داستان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46407" w:rsidRPr="00454DEE" w:rsidRDefault="003116C3" w:rsidP="000966A4">
      <w:pPr>
        <w:pStyle w:val="Heading3"/>
        <w:rPr>
          <w:rFonts w:ascii="IRBadr" w:hAnsi="IRBadr" w:cs="IRBadr"/>
          <w:rtl/>
        </w:rPr>
      </w:pPr>
      <w:bookmarkStart w:id="13" w:name="_Toc426134084"/>
      <w:r w:rsidRPr="00454DEE">
        <w:rPr>
          <w:rFonts w:ascii="IRBadr" w:hAnsi="IRBadr" w:cs="IRBadr"/>
          <w:rtl/>
        </w:rPr>
        <w:t>دلیل دیگر در این مقام</w:t>
      </w:r>
      <w:bookmarkEnd w:id="13"/>
    </w:p>
    <w:p w:rsidR="003116C3" w:rsidRPr="00454DEE" w:rsidRDefault="003116C3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دلیل دیگری که در این مقام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ارائه داد،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ص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غرای قیاس بگوییم شهادت علیه زن در اینجا ملحوظ است،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کبرای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قیاس این خواهد بود که؛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شهادت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مقابل آن معتبر است و موجب سقوط حد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اینکه شهادت یکی مقدم بر دیگری باشد.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بینه‌ای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معتبر در مقابل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بینه‌ای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دیگر قرار گیرد،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دو ساقط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116C3" w:rsidRPr="00454DEE" w:rsidRDefault="00683D9C" w:rsidP="000966A4">
      <w:pPr>
        <w:pStyle w:val="Heading3"/>
        <w:rPr>
          <w:rFonts w:ascii="IRBadr" w:hAnsi="IRBadr" w:cs="IRBadr"/>
          <w:rtl/>
        </w:rPr>
      </w:pPr>
      <w:r w:rsidRPr="00454DEE">
        <w:rPr>
          <w:rFonts w:ascii="IRBadr" w:hAnsi="IRBadr" w:cs="IRBadr"/>
          <w:rtl/>
        </w:rPr>
        <w:t>جمع‌بندی</w:t>
      </w:r>
    </w:p>
    <w:p w:rsidR="003116C3" w:rsidRPr="00454DEE" w:rsidRDefault="00683D9C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3116C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3116C3"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بیان شد،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غیر</w:t>
      </w:r>
      <w:r w:rsidR="003116C3" w:rsidRPr="00454DEE">
        <w:rPr>
          <w:rFonts w:ascii="IRBadr" w:hAnsi="IRBadr" w:cs="IRBadr"/>
          <w:sz w:val="28"/>
          <w:szCs w:val="28"/>
          <w:rtl/>
          <w:lang w:bidi="fa-IR"/>
        </w:rPr>
        <w:t xml:space="preserve"> از مرسله همگی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3116C3" w:rsidRPr="00454DEE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شهاد حد قذفی نخواهد بود،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اینکه شهادت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از اعتبار کافی برخوردار نبوده باشد.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نیز به همان فتوایی 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اعتقادداریم</w:t>
      </w:r>
      <w:r w:rsidR="00083EF3"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مشهور و قاطبه فقها داشتند.</w:t>
      </w:r>
    </w:p>
    <w:p w:rsidR="00083EF3" w:rsidRPr="00454DEE" w:rsidRDefault="00083EF3" w:rsidP="000966A4">
      <w:pPr>
        <w:pStyle w:val="Heading3"/>
        <w:rPr>
          <w:rFonts w:ascii="IRBadr" w:hAnsi="IRBadr" w:cs="IRBadr"/>
          <w:rtl/>
        </w:rPr>
      </w:pPr>
      <w:bookmarkStart w:id="14" w:name="_Toc426134086"/>
      <w:r w:rsidRPr="00454DEE">
        <w:rPr>
          <w:rFonts w:ascii="IRBadr" w:hAnsi="IRBadr" w:cs="IRBadr"/>
          <w:rtl/>
        </w:rPr>
        <w:lastRenderedPageBreak/>
        <w:t>حد قذف در روایت سکونی</w:t>
      </w:r>
      <w:bookmarkEnd w:id="14"/>
    </w:p>
    <w:p w:rsidR="00083EF3" w:rsidRPr="00454DEE" w:rsidRDefault="00083EF3" w:rsidP="00C64D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54DEE">
        <w:rPr>
          <w:rFonts w:ascii="IRBadr" w:hAnsi="IRBadr" w:cs="IRBadr"/>
          <w:sz w:val="28"/>
          <w:szCs w:val="28"/>
          <w:rtl/>
          <w:lang w:bidi="fa-IR"/>
        </w:rPr>
        <w:t>ممکن است ادعا شود که؛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حد زنا را ساقط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>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قبال حد قذف سخنی در آن به میان نیامده است که 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در مقام بیان نبوده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باید در اینجا احراز کنیم که روایت در مقام بیان نبوده است، احراز این امر در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هاله‌ای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از تردید است.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3D9C" w:rsidRPr="00454DEE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که قاعده درع حد زنا را نفی کرد،</w:t>
      </w:r>
      <w:r w:rsidR="00C64D23" w:rsidRPr="00454DE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54DEE">
        <w:rPr>
          <w:rFonts w:ascii="IRBadr" w:hAnsi="IRBadr" w:cs="IRBadr"/>
          <w:sz w:val="28"/>
          <w:szCs w:val="28"/>
          <w:rtl/>
          <w:lang w:bidi="fa-IR"/>
        </w:rPr>
        <w:t xml:space="preserve"> این مقام این توان را دارد که حد قذف را نیز بردارد.</w:t>
      </w:r>
    </w:p>
    <w:p w:rsidR="00083EF3" w:rsidRPr="00454DEE" w:rsidRDefault="00083EF3" w:rsidP="00083E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083EF3" w:rsidRPr="00454DEE" w:rsidRDefault="00083EF3" w:rsidP="00083E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454DEE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454DEE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C40" w:rsidRDefault="00863C40" w:rsidP="000D5800">
      <w:pPr>
        <w:spacing w:after="0" w:line="240" w:lineRule="auto"/>
      </w:pPr>
      <w:r>
        <w:separator/>
      </w:r>
    </w:p>
  </w:endnote>
  <w:endnote w:type="continuationSeparator" w:id="0">
    <w:p w:rsidR="00863C40" w:rsidRDefault="00863C40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altName w:val="Segoe UI Semilight"/>
    <w:charset w:val="00"/>
    <w:family w:val="auto"/>
    <w:pitch w:val="variable"/>
    <w:sig w:usb0="00000000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C40" w:rsidRDefault="00863C40" w:rsidP="000966A4">
      <w:pPr>
        <w:bidi/>
        <w:spacing w:after="0" w:line="240" w:lineRule="auto"/>
      </w:pPr>
      <w:r>
        <w:separator/>
      </w:r>
    </w:p>
  </w:footnote>
  <w:footnote w:type="continuationSeparator" w:id="0">
    <w:p w:rsidR="00863C40" w:rsidRDefault="00863C40" w:rsidP="000D5800">
      <w:pPr>
        <w:spacing w:after="0" w:line="240" w:lineRule="auto"/>
      </w:pPr>
      <w:r>
        <w:continuationSeparator/>
      </w:r>
    </w:p>
  </w:footnote>
  <w:footnote w:id="1">
    <w:p w:rsidR="003F2F75" w:rsidRDefault="003F2F75" w:rsidP="000966A4">
      <w:pPr>
        <w:pStyle w:val="NormalWeb"/>
        <w:bidi/>
        <w:rPr>
          <w:rFonts w:ascii="Noor_Nazli" w:hAnsi="Noor_Nazli" w:cs="Noor_Nazli"/>
          <w:color w:val="000000"/>
          <w:sz w:val="2"/>
          <w:szCs w:val="2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F2F75">
        <w:rPr>
          <w:rFonts w:ascii="Noor_Titr" w:hAnsi="Noor_Titr" w:cs="B Badr" w:hint="cs"/>
          <w:color w:val="000000" w:themeColor="text1"/>
          <w:sz w:val="20"/>
          <w:szCs w:val="20"/>
          <w:rtl/>
        </w:rPr>
        <w:t>تهذ</w:t>
      </w:r>
      <w:r w:rsidR="00C64D23">
        <w:rPr>
          <w:rFonts w:ascii="Noor_Titr" w:hAnsi="Noor_Titr" w:cs="B Badr" w:hint="cs"/>
          <w:color w:val="000000" w:themeColor="text1"/>
          <w:sz w:val="20"/>
          <w:szCs w:val="20"/>
          <w:rtl/>
        </w:rPr>
        <w:t>ی</w:t>
      </w:r>
      <w:r w:rsidRPr="003F2F75">
        <w:rPr>
          <w:rFonts w:ascii="Noor_Titr" w:hAnsi="Noor_Titr" w:cs="B Badr" w:hint="cs"/>
          <w:color w:val="000000" w:themeColor="text1"/>
          <w:sz w:val="20"/>
          <w:szCs w:val="20"/>
          <w:rtl/>
        </w:rPr>
        <w:t>ب الأح</w:t>
      </w:r>
      <w:r w:rsidR="00C64D23">
        <w:rPr>
          <w:rFonts w:ascii="Noor_Titr" w:hAnsi="Noor_Titr" w:cs="B Badr" w:hint="cs"/>
          <w:color w:val="000000" w:themeColor="text1"/>
          <w:sz w:val="20"/>
          <w:szCs w:val="20"/>
          <w:rtl/>
        </w:rPr>
        <w:t>ک</w:t>
      </w:r>
      <w:r w:rsidRPr="003F2F75">
        <w:rPr>
          <w:rFonts w:ascii="Noor_Titr" w:hAnsi="Noor_Titr" w:cs="B Badr" w:hint="cs"/>
          <w:color w:val="000000" w:themeColor="text1"/>
          <w:sz w:val="20"/>
          <w:szCs w:val="20"/>
          <w:rtl/>
        </w:rPr>
        <w:t xml:space="preserve">ام؛ </w:t>
      </w:r>
      <w:r w:rsidR="00C64D23">
        <w:rPr>
          <w:rFonts w:ascii="Noor_Titr" w:hAnsi="Noor_Titr" w:cs="B Badr"/>
          <w:color w:val="000000" w:themeColor="text1"/>
          <w:sz w:val="20"/>
          <w:szCs w:val="20"/>
          <w:rtl/>
        </w:rPr>
        <w:t>ج 10</w:t>
      </w:r>
      <w:r w:rsidRPr="003F2F75">
        <w:rPr>
          <w:rFonts w:ascii="Noor_Titr" w:hAnsi="Noor_Titr" w:cs="B Badr" w:hint="cs"/>
          <w:color w:val="000000" w:themeColor="text1"/>
          <w:sz w:val="20"/>
          <w:szCs w:val="20"/>
          <w:rtl/>
        </w:rPr>
        <w:t>، ص: 19</w:t>
      </w:r>
    </w:p>
    <w:p w:rsidR="003F2F75" w:rsidRDefault="003F2F75" w:rsidP="003F2F75">
      <w:pPr>
        <w:pStyle w:val="NormalWeb"/>
        <w:bidi/>
        <w:rPr>
          <w:rFonts w:ascii="Noor_Lotus" w:hAnsi="Noor_Lotus" w:cs="Noor_Lotus"/>
          <w:color w:val="000000"/>
          <w:sz w:val="2"/>
          <w:szCs w:val="2"/>
          <w:rtl/>
        </w:rPr>
      </w:pPr>
    </w:p>
    <w:p w:rsidR="003F2F75" w:rsidRDefault="003F2F75">
      <w:pPr>
        <w:pStyle w:val="FootnoteText"/>
        <w:rPr>
          <w:rtl/>
        </w:rPr>
      </w:pPr>
    </w:p>
    <w:p w:rsidR="003F2F75" w:rsidRDefault="003F2F75">
      <w:pPr>
        <w:pStyle w:val="FootnoteText"/>
      </w:pPr>
    </w:p>
  </w:footnote>
  <w:footnote w:id="2">
    <w:p w:rsidR="003F2F75" w:rsidRDefault="003F2F7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F2F75">
        <w:rPr>
          <w:rFonts w:ascii="Noor_Titr" w:hAnsi="Noor_Titr" w:cs="B Badr" w:hint="cs"/>
          <w:color w:val="000000" w:themeColor="text1"/>
          <w:rtl/>
        </w:rPr>
        <w:t>تهذ</w:t>
      </w:r>
      <w:r w:rsidR="00C64D23">
        <w:rPr>
          <w:rFonts w:ascii="Noor_Titr" w:hAnsi="Noor_Titr" w:cs="B Badr" w:hint="cs"/>
          <w:color w:val="000000" w:themeColor="text1"/>
          <w:rtl/>
        </w:rPr>
        <w:t>ی</w:t>
      </w:r>
      <w:r w:rsidRPr="003F2F75">
        <w:rPr>
          <w:rFonts w:ascii="Noor_Titr" w:hAnsi="Noor_Titr" w:cs="B Badr" w:hint="cs"/>
          <w:color w:val="000000" w:themeColor="text1"/>
          <w:rtl/>
        </w:rPr>
        <w:t>ب الأح</w:t>
      </w:r>
      <w:r w:rsidR="00C64D23">
        <w:rPr>
          <w:rFonts w:ascii="Noor_Titr" w:hAnsi="Noor_Titr" w:cs="B Badr" w:hint="cs"/>
          <w:color w:val="000000" w:themeColor="text1"/>
          <w:rtl/>
        </w:rPr>
        <w:t>ک</w:t>
      </w:r>
      <w:r w:rsidRPr="003F2F75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C64D23">
        <w:rPr>
          <w:rFonts w:ascii="Noor_Titr" w:hAnsi="Noor_Titr" w:cs="B Badr"/>
          <w:color w:val="000000" w:themeColor="text1"/>
          <w:rtl/>
        </w:rPr>
        <w:t>ج 6</w:t>
      </w:r>
      <w:r w:rsidRPr="003F2F75">
        <w:rPr>
          <w:rFonts w:ascii="Noor_Titr" w:hAnsi="Noor_Titr" w:cs="B Badr" w:hint="cs"/>
          <w:color w:val="000000" w:themeColor="text1"/>
          <w:rtl/>
        </w:rPr>
        <w:t>، ص: 278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71231C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5C9DA2C" wp14:editId="1BC3A97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E72CA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3C483DA0" wp14:editId="3A70FA58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C64D23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1231C">
      <w:rPr>
        <w:rFonts w:ascii="IranNastaliq" w:hAnsi="IranNastaliq" w:cs="IranNastaliq" w:hint="cs"/>
        <w:sz w:val="40"/>
        <w:szCs w:val="40"/>
        <w:rtl/>
      </w:rPr>
      <w:t>783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1C"/>
    <w:rsid w:val="000228A2"/>
    <w:rsid w:val="000324F1"/>
    <w:rsid w:val="00041FE0"/>
    <w:rsid w:val="00052BA3"/>
    <w:rsid w:val="0006363E"/>
    <w:rsid w:val="00080DFF"/>
    <w:rsid w:val="00083EF3"/>
    <w:rsid w:val="00085ED5"/>
    <w:rsid w:val="000966A4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42A2B"/>
    <w:rsid w:val="002529C5"/>
    <w:rsid w:val="00270294"/>
    <w:rsid w:val="002914BD"/>
    <w:rsid w:val="0029249E"/>
    <w:rsid w:val="00297263"/>
    <w:rsid w:val="002C56FD"/>
    <w:rsid w:val="002D49E4"/>
    <w:rsid w:val="002E450B"/>
    <w:rsid w:val="002E73F9"/>
    <w:rsid w:val="002F05B9"/>
    <w:rsid w:val="003116C3"/>
    <w:rsid w:val="00340BA3"/>
    <w:rsid w:val="00356019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2F75"/>
    <w:rsid w:val="00405199"/>
    <w:rsid w:val="00410699"/>
    <w:rsid w:val="00415360"/>
    <w:rsid w:val="0044590D"/>
    <w:rsid w:val="0044591E"/>
    <w:rsid w:val="00454DEE"/>
    <w:rsid w:val="004651D2"/>
    <w:rsid w:val="00465D26"/>
    <w:rsid w:val="004679F8"/>
    <w:rsid w:val="004B337F"/>
    <w:rsid w:val="004B73B1"/>
    <w:rsid w:val="004F3596"/>
    <w:rsid w:val="00524EE2"/>
    <w:rsid w:val="0054640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661BA"/>
    <w:rsid w:val="00683D9C"/>
    <w:rsid w:val="0069696C"/>
    <w:rsid w:val="006A085A"/>
    <w:rsid w:val="006C153F"/>
    <w:rsid w:val="006D3A87"/>
    <w:rsid w:val="006F01B4"/>
    <w:rsid w:val="0071231C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3C40"/>
    <w:rsid w:val="008644F4"/>
    <w:rsid w:val="0087369A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54B06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3F36"/>
    <w:rsid w:val="00B15027"/>
    <w:rsid w:val="00B21CF4"/>
    <w:rsid w:val="00B24300"/>
    <w:rsid w:val="00B5079C"/>
    <w:rsid w:val="00B63F15"/>
    <w:rsid w:val="00BB5F7E"/>
    <w:rsid w:val="00BC26F6"/>
    <w:rsid w:val="00BC4833"/>
    <w:rsid w:val="00BD3122"/>
    <w:rsid w:val="00BD40DA"/>
    <w:rsid w:val="00BF3D67"/>
    <w:rsid w:val="00BF7680"/>
    <w:rsid w:val="00C160AF"/>
    <w:rsid w:val="00C22299"/>
    <w:rsid w:val="00C25609"/>
    <w:rsid w:val="00C262D7"/>
    <w:rsid w:val="00C26607"/>
    <w:rsid w:val="00C60D75"/>
    <w:rsid w:val="00C64CEA"/>
    <w:rsid w:val="00C64D23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3348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7ABC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79EA"/>
    <w:rsid w:val="00F10A0F"/>
    <w:rsid w:val="00F40284"/>
    <w:rsid w:val="00F56028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1231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F2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3F2F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966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1231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F2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3F2F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966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60E8-321C-4FC7-8996-FFC0F179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148</TotalTime>
  <Pages>6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20</cp:revision>
  <dcterms:created xsi:type="dcterms:W3CDTF">2014-12-20T10:11:00Z</dcterms:created>
  <dcterms:modified xsi:type="dcterms:W3CDTF">2015-08-15T06:08:00Z</dcterms:modified>
</cp:coreProperties>
</file>